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6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8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Oprava komunikací Nymburka tryskovou metodou </w:t>
        <w:tab/>
        <w:tab/>
        <w:tab/>
        <w:tab/>
        <w:tab/>
        <w:tab/>
        <w:t>strojem Patchmatic v r. 2025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tbl>
      <w:tblPr>
        <w:tblW w:w="10380" w:type="dxa"/>
        <w:jc w:val="left"/>
        <w:tblInd w:w="-241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3956"/>
        <w:gridCol w:w="2267"/>
        <w:gridCol w:w="1967"/>
        <w:gridCol w:w="2189"/>
      </w:tblGrid>
      <w:tr>
        <w:trPr/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Jednotková nabídková cena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Fonts w:eastAsia="Calibri" w:cs="Tahoma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  <w:t>Hodnocený parametr)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 21 %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21%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 1 tuna - směs kameniva s emulzí [Kč]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417" w:gutter="0" w:header="340" w:top="397" w:footer="340" w:bottom="6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6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Footer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Footer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Hyperlink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Footer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Footer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Hyperlink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-196215</wp:posOffset>
          </wp:positionH>
          <wp:positionV relativeFrom="paragraph">
            <wp:posOffset>-64135</wp:posOffset>
          </wp:positionV>
          <wp:extent cx="838835" cy="468630"/>
          <wp:effectExtent l="0" t="0" r="0" b="0"/>
          <wp:wrapSquare wrapText="largest"/>
          <wp:docPr id="4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>
      <w:rPr>
        <w:rFonts w:ascii="Times New Roman" w:hAnsi="Times New Roman"/>
        <w:b/>
        <w:bCs/>
      </w:rPr>
      <w:t>Příloha č.1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-196215</wp:posOffset>
          </wp:positionH>
          <wp:positionV relativeFrom="paragraph">
            <wp:posOffset>-64135</wp:posOffset>
          </wp:positionV>
          <wp:extent cx="838835" cy="468630"/>
          <wp:effectExtent l="0" t="0" r="0" b="0"/>
          <wp:wrapSquare wrapText="largest"/>
          <wp:docPr id="5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>
      <w:rPr>
        <w:rFonts w:ascii="Times New Roman" w:hAnsi="Times New Roman"/>
        <w:b/>
        <w:bCs/>
      </w:rPr>
      <w:t>Příloha č.1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adpis"/>
    <w:next w:val="BodyText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user">
    <w:name w:val="Obsah rámce (user)"/>
    <w:basedOn w:val="Normal"/>
    <w:qFormat/>
    <w:pPr/>
    <w:rPr/>
  </w:style>
  <w:style w:type="numbering" w:styleId="Bezseznamuuser">
    <w:name w:val="Bez seznamu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Application>LibreOffice/25.2.1.2$Windows_X86_64 LibreOffice_project/d3abf4aee5fd705e4a92bba33a32f40bc4e56f49</Application>
  <AppVersion>15.0000</AppVersion>
  <Pages>1</Pages>
  <Words>162</Words>
  <Characters>1035</Characters>
  <CharactersWithSpaces>1600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2025-04-10T06:45:12Z</cp:lastPrinted>
  <dcterms:modified xsi:type="dcterms:W3CDTF">2025-03-25T07:01:38Z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